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34527" w14:textId="3075BC5F" w:rsidR="00881DEF" w:rsidRPr="00491198" w:rsidRDefault="00491198" w:rsidP="001063F3">
      <w:pPr>
        <w:spacing w:line="400" w:lineRule="exact"/>
        <w:ind w:left="991" w:hangingChars="275" w:hanging="991"/>
        <w:jc w:val="both"/>
        <w:rPr>
          <w:rFonts w:ascii="標楷體" w:eastAsia="標楷體" w:hAnsi="標楷體"/>
          <w:b/>
          <w:bCs/>
          <w:color w:val="000000" w:themeColor="text1"/>
          <w:sz w:val="36"/>
          <w:szCs w:val="36"/>
        </w:rPr>
      </w:pPr>
      <w:r w:rsidRPr="00491198">
        <w:rPr>
          <w:rFonts w:ascii="標楷體" w:eastAsia="標楷體" w:hAnsi="標楷體" w:hint="eastAsia"/>
          <w:b/>
          <w:bCs/>
          <w:color w:val="000000" w:themeColor="text1"/>
          <w:sz w:val="36"/>
          <w:szCs w:val="36"/>
        </w:rPr>
        <w:t>桃園市市立各級學校教師兼職規範宣導</w:t>
      </w:r>
      <w:r>
        <w:rPr>
          <w:rFonts w:ascii="標楷體" w:eastAsia="標楷體" w:hAnsi="標楷體" w:hint="eastAsia"/>
          <w:b/>
          <w:bCs/>
          <w:color w:val="000000" w:themeColor="text1"/>
          <w:sz w:val="36"/>
          <w:szCs w:val="36"/>
        </w:rPr>
        <w:t xml:space="preserve">          1120925</w:t>
      </w:r>
    </w:p>
    <w:p w14:paraId="1F7E06AA" w14:textId="7762A8D1" w:rsidR="001063F3" w:rsidRPr="00FD4D25" w:rsidRDefault="001063F3" w:rsidP="001063F3">
      <w:pPr>
        <w:spacing w:line="400" w:lineRule="exact"/>
        <w:ind w:left="770" w:hangingChars="275" w:hanging="77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本市市立各級學校教師兼職規範：</w:t>
      </w:r>
    </w:p>
    <w:p w14:paraId="40D27190" w14:textId="77777777" w:rsidR="001063F3" w:rsidRPr="00FD4D25" w:rsidRDefault="001063F3" w:rsidP="001063F3">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)未兼任行政職務之教師：公立各級學校專任教師兼職處理原則。</w:t>
      </w:r>
    </w:p>
    <w:p w14:paraId="645B77ED" w14:textId="77777777" w:rsidR="001063F3" w:rsidRPr="00FD4D25" w:rsidRDefault="001063F3" w:rsidP="001063F3">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2414BE67" w14:textId="77777777" w:rsidR="001063F3" w:rsidRPr="00FD4D25" w:rsidRDefault="001063F3" w:rsidP="001063F3">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(三)兼任行政職務之教師(含代理教師)：桃園市市立各級學校兼任行政職務教師兼職辦法。</w:t>
      </w:r>
    </w:p>
    <w:p w14:paraId="7E1898F0" w14:textId="682B864C" w:rsidR="001063F3" w:rsidRDefault="001063F3" w:rsidP="001063F3">
      <w:pPr>
        <w:spacing w:line="440" w:lineRule="exact"/>
        <w:ind w:left="561" w:hangingChars="200" w:hanging="561"/>
        <w:jc w:val="both"/>
        <w:rPr>
          <w:rFonts w:ascii="標楷體" w:eastAsia="標楷體" w:hAnsi="標楷體"/>
          <w:b/>
          <w:color w:val="000000" w:themeColor="text1"/>
          <w:sz w:val="30"/>
          <w:szCs w:val="30"/>
        </w:rPr>
      </w:pPr>
      <w:r>
        <w:rPr>
          <w:rFonts w:ascii="標楷體" w:eastAsia="標楷體" w:hAnsi="標楷體" w:hint="eastAsia"/>
          <w:b/>
          <w:color w:val="000000" w:themeColor="text1"/>
          <w:sz w:val="28"/>
          <w:szCs w:val="28"/>
        </w:rPr>
        <w:t>二、不得</w:t>
      </w:r>
      <w:r>
        <w:rPr>
          <w:rFonts w:ascii="標楷體" w:eastAsia="標楷體" w:hAnsi="標楷體" w:hint="eastAsia"/>
          <w:b/>
          <w:color w:val="000000" w:themeColor="text1"/>
          <w:sz w:val="30"/>
          <w:szCs w:val="30"/>
        </w:rPr>
        <w:t>經營商業(例如：</w:t>
      </w:r>
      <w:r w:rsidRPr="00D47A74">
        <w:rPr>
          <w:rFonts w:ascii="標楷體" w:eastAsia="標楷體" w:hAnsi="標楷體" w:hint="eastAsia"/>
          <w:b/>
          <w:color w:val="000000" w:themeColor="text1"/>
          <w:sz w:val="30"/>
          <w:szCs w:val="30"/>
        </w:rPr>
        <w:t>擔任營利事業之公司負責人</w:t>
      </w:r>
      <w:r>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商業負責人</w:t>
      </w:r>
      <w:r>
        <w:rPr>
          <w:rFonts w:ascii="標楷體" w:eastAsia="標楷體" w:hAnsi="標楷體" w:hint="eastAsia"/>
          <w:b/>
          <w:color w:val="000000" w:themeColor="text1"/>
          <w:sz w:val="30"/>
          <w:szCs w:val="30"/>
        </w:rPr>
        <w:t>，或</w:t>
      </w:r>
      <w:r w:rsidRPr="004712E0">
        <w:rPr>
          <w:rFonts w:ascii="標楷體" w:eastAsia="標楷體" w:hAnsi="標楷體" w:hint="eastAsia"/>
          <w:b/>
          <w:color w:val="000000" w:themeColor="text1"/>
          <w:sz w:val="30"/>
          <w:szCs w:val="30"/>
        </w:rPr>
        <w:t>兼任其他具營利行為性質之工作</w:t>
      </w:r>
      <w:r>
        <w:rPr>
          <w:rFonts w:ascii="標楷體" w:eastAsia="標楷體" w:hAnsi="標楷體" w:hint="eastAsia"/>
          <w:b/>
          <w:color w:val="000000" w:themeColor="text1"/>
          <w:sz w:val="30"/>
          <w:szCs w:val="30"/>
        </w:rPr>
        <w:t xml:space="preserve">)。  </w:t>
      </w:r>
    </w:p>
    <w:p w14:paraId="503F7649" w14:textId="77777777" w:rsidR="001063F3" w:rsidRPr="001A181F"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r w:rsidRPr="001A181F">
        <w:rPr>
          <w:rFonts w:ascii="標楷體" w:eastAsia="標楷體" w:hAnsi="標楷體" w:hint="eastAsia"/>
          <w:bCs/>
          <w:color w:val="385623" w:themeColor="accent6" w:themeShade="80"/>
          <w:szCs w:val="24"/>
        </w:rPr>
        <w:t>▲本項目所稱「經營商業」係指：</w:t>
      </w:r>
    </w:p>
    <w:p w14:paraId="2DA9A031"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r>
        <w:rPr>
          <w:rFonts w:ascii="標楷體" w:eastAsia="標楷體" w:hAnsi="標楷體"/>
          <w:bCs/>
          <w:noProof/>
          <w:color w:val="000000" w:themeColor="text1"/>
          <w:szCs w:val="24"/>
        </w:rPr>
        <w:drawing>
          <wp:anchor distT="0" distB="0" distL="114300" distR="114300" simplePos="0" relativeHeight="251659264" behindDoc="0" locked="0" layoutInCell="1" allowOverlap="1" wp14:anchorId="2FA8B414" wp14:editId="76112AF8">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6">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735130"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65FE9306"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725B3F4B"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31981296"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320DE587"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5A2B2822"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44AF941E"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1ED20EBA"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7B8BC883"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3C984CB7"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39C3DD86"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2A163DBD"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324B5041"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0E52AA3A"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14593A08"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3E13F8E8"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1F40B85F"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10EDD10F" w14:textId="77777777" w:rsidR="001063F3"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p>
    <w:p w14:paraId="0E79D6F0" w14:textId="77777777" w:rsidR="001063F3" w:rsidRPr="001A181F" w:rsidRDefault="001063F3" w:rsidP="001063F3">
      <w:pPr>
        <w:adjustRightInd w:val="0"/>
        <w:snapToGrid w:val="0"/>
        <w:spacing w:line="320" w:lineRule="exact"/>
        <w:ind w:left="240" w:hangingChars="100" w:hanging="240"/>
        <w:jc w:val="both"/>
        <w:rPr>
          <w:rFonts w:ascii="標楷體" w:eastAsia="標楷體" w:hAnsi="標楷體"/>
          <w:bCs/>
          <w:color w:val="385623" w:themeColor="accent6" w:themeShade="80"/>
          <w:szCs w:val="24"/>
        </w:rPr>
      </w:pPr>
      <w:r w:rsidRPr="001A181F">
        <w:rPr>
          <w:rFonts w:ascii="標楷體" w:eastAsia="標楷體" w:hAnsi="標楷體" w:hint="eastAsia"/>
          <w:bCs/>
          <w:color w:val="385623" w:themeColor="accent6" w:themeShade="80"/>
          <w:szCs w:val="24"/>
        </w:rPr>
        <w:t>▲</w:t>
      </w:r>
      <w:r w:rsidRPr="001A181F">
        <w:rPr>
          <w:rFonts w:ascii="標楷體" w:eastAsia="標楷體" w:hAnsi="標楷體" w:hint="eastAsia"/>
          <w:bCs/>
          <w:color w:val="385623" w:themeColor="accent6" w:themeShade="80"/>
          <w:szCs w:val="24"/>
          <w:lang w:eastAsia="zh-HK"/>
        </w:rPr>
        <w:t>請務必自行</w:t>
      </w:r>
      <w:r w:rsidRPr="001A181F">
        <w:rPr>
          <w:rFonts w:ascii="標楷體" w:eastAsia="標楷體" w:hAnsi="標楷體" w:hint="eastAsia"/>
          <w:bCs/>
          <w:color w:val="385623" w:themeColor="accent6" w:themeShade="80"/>
          <w:szCs w:val="24"/>
        </w:rPr>
        <w:t>確認是否</w:t>
      </w:r>
      <w:r>
        <w:rPr>
          <w:rFonts w:ascii="標楷體" w:eastAsia="標楷體" w:hAnsi="標楷體" w:hint="eastAsia"/>
          <w:bCs/>
          <w:color w:val="385623" w:themeColor="accent6" w:themeShade="80"/>
          <w:szCs w:val="24"/>
        </w:rPr>
        <w:t>掛名或</w:t>
      </w:r>
      <w:r w:rsidRPr="001A181F">
        <w:rPr>
          <w:rFonts w:ascii="標楷體" w:eastAsia="標楷體" w:hAnsi="標楷體" w:hint="eastAsia"/>
          <w:bCs/>
          <w:color w:val="385623" w:themeColor="accent6" w:themeShade="80"/>
          <w:szCs w:val="24"/>
        </w:rPr>
        <w:t>擔任營利事業之公司負責人或商業負責人，</w:t>
      </w:r>
      <w:r w:rsidRPr="001A181F">
        <w:rPr>
          <w:rFonts w:ascii="標楷體" w:eastAsia="標楷體" w:hAnsi="標楷體" w:hint="eastAsia"/>
          <w:bCs/>
          <w:color w:val="385623" w:themeColor="accent6" w:themeShade="80"/>
          <w:szCs w:val="24"/>
          <w:lang w:eastAsia="zh-HK"/>
        </w:rPr>
        <w:t>可</w:t>
      </w:r>
      <w:r w:rsidRPr="001A181F">
        <w:rPr>
          <w:rFonts w:ascii="標楷體" w:eastAsia="標楷體" w:hAnsi="標楷體" w:hint="eastAsia"/>
          <w:bCs/>
          <w:color w:val="385623" w:themeColor="accent6" w:themeShade="80"/>
          <w:szCs w:val="24"/>
        </w:rPr>
        <w:t>至財政部稅籍登記資料公示查詢專區或經濟部商業司商工登記公示資料查詢服務專區查詢。</w:t>
      </w:r>
    </w:p>
    <w:p w14:paraId="79A65A3F" w14:textId="73376849" w:rsidR="001063F3" w:rsidRPr="001063F3" w:rsidRDefault="001063F3" w:rsidP="001063F3">
      <w:pPr>
        <w:spacing w:line="400" w:lineRule="exact"/>
        <w:ind w:left="561" w:hangingChars="200" w:hanging="561"/>
        <w:jc w:val="both"/>
        <w:rPr>
          <w:rFonts w:ascii="標楷體" w:eastAsia="標楷體" w:hAnsi="標楷體"/>
          <w:b/>
          <w:color w:val="000000" w:themeColor="text1"/>
          <w:sz w:val="28"/>
          <w:szCs w:val="28"/>
        </w:rPr>
      </w:pPr>
    </w:p>
    <w:p w14:paraId="4AD94032" w14:textId="5C2F1179" w:rsidR="001063F3" w:rsidRPr="001063F3" w:rsidRDefault="001063F3" w:rsidP="001063F3">
      <w:pPr>
        <w:spacing w:line="440" w:lineRule="exact"/>
        <w:ind w:left="561" w:hangingChars="200" w:hanging="561"/>
        <w:jc w:val="both"/>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三、</w:t>
      </w:r>
      <w:r w:rsidRPr="001063F3">
        <w:rPr>
          <w:rFonts w:ascii="標楷體" w:eastAsia="標楷體" w:hAnsi="標楷體" w:hint="eastAsia"/>
          <w:b/>
          <w:bCs/>
          <w:color w:val="000000" w:themeColor="text1"/>
          <w:sz w:val="28"/>
          <w:szCs w:val="28"/>
        </w:rPr>
        <w:t>專任教師及代理教師不得在校外從事補習、家教之教學活動，不得至以升學為目的之短期文理補習</w:t>
      </w:r>
      <w:bookmarkStart w:id="0" w:name="_GoBack"/>
      <w:bookmarkEnd w:id="0"/>
      <w:r w:rsidRPr="001063F3">
        <w:rPr>
          <w:rFonts w:ascii="標楷體" w:eastAsia="標楷體" w:hAnsi="標楷體" w:hint="eastAsia"/>
          <w:b/>
          <w:bCs/>
          <w:color w:val="000000" w:themeColor="text1"/>
          <w:sz w:val="28"/>
          <w:szCs w:val="28"/>
        </w:rPr>
        <w:t>班及技藝補習班兼課，亦不得利用課餘時間邀集學生在家實施才藝教學(例如：教授書法、鋼琴)。</w:t>
      </w:r>
    </w:p>
    <w:p w14:paraId="473B9DE5" w14:textId="2FA88443" w:rsidR="001063F3" w:rsidRDefault="001063F3" w:rsidP="001063F3">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20708D">
        <w:rPr>
          <w:rFonts w:ascii="標楷體" w:eastAsia="標楷體" w:hAnsi="標楷體" w:hint="eastAsia"/>
          <w:color w:val="000000" w:themeColor="text1"/>
          <w:sz w:val="28"/>
          <w:szCs w:val="28"/>
        </w:rPr>
        <w:t>、</w:t>
      </w:r>
      <w:r w:rsidRPr="001063F3">
        <w:rPr>
          <w:rFonts w:ascii="標楷體" w:eastAsia="標楷體" w:hAnsi="標楷體" w:hint="eastAsia"/>
          <w:color w:val="000000" w:themeColor="text1"/>
          <w:sz w:val="28"/>
          <w:szCs w:val="28"/>
        </w:rPr>
        <w:t>教師至</w:t>
      </w:r>
      <w:r w:rsidRPr="008D36D9">
        <w:rPr>
          <w:rFonts w:ascii="標楷體" w:eastAsia="標楷體" w:hAnsi="標楷體" w:hint="eastAsia"/>
          <w:color w:val="000000" w:themeColor="text1"/>
          <w:sz w:val="28"/>
          <w:szCs w:val="28"/>
        </w:rPr>
        <w:t>機關（</w:t>
      </w:r>
      <w:r w:rsidRPr="001063F3">
        <w:rPr>
          <w:rFonts w:ascii="標楷體" w:eastAsia="標楷體" w:hAnsi="標楷體" w:hint="eastAsia"/>
          <w:color w:val="000000" w:themeColor="text1"/>
          <w:sz w:val="28"/>
          <w:szCs w:val="28"/>
        </w:rPr>
        <w:t>構）、學校、法人、事業或團體兼任之職務，應與教學或研究專長領域相關。除相關法令規定隨職務異動或當然兼職者外，應事先提出申請，並經服務學校書面核准，於期滿續兼或兼職職務異動時，應重行申請。</w:t>
      </w:r>
    </w:p>
    <w:p w14:paraId="0B80A2A5" w14:textId="4547B8B1" w:rsidR="001063F3" w:rsidRPr="001063F3" w:rsidRDefault="001063F3" w:rsidP="001063F3">
      <w:pPr>
        <w:spacing w:line="400" w:lineRule="exact"/>
        <w:ind w:left="560" w:hangingChars="200" w:hanging="560"/>
        <w:jc w:val="both"/>
        <w:rPr>
          <w:rFonts w:ascii="標楷體" w:eastAsia="標楷體" w:hAnsi="標楷體"/>
          <w:b/>
          <w:bCs/>
          <w:color w:val="000000" w:themeColor="text1"/>
          <w:sz w:val="28"/>
          <w:szCs w:val="28"/>
        </w:rPr>
      </w:pPr>
      <w:r>
        <w:rPr>
          <w:rFonts w:ascii="標楷體" w:eastAsia="標楷體" w:hAnsi="標楷體" w:hint="eastAsia"/>
          <w:color w:val="000000" w:themeColor="text1"/>
          <w:sz w:val="28"/>
          <w:szCs w:val="28"/>
        </w:rPr>
        <w:t>五、</w:t>
      </w:r>
      <w:r w:rsidRPr="001063F3">
        <w:rPr>
          <w:rFonts w:ascii="標楷體" w:eastAsia="標楷體" w:hAnsi="標楷體" w:hint="eastAsia"/>
          <w:b/>
          <w:bCs/>
          <w:color w:val="000000" w:themeColor="text1"/>
          <w:sz w:val="28"/>
          <w:szCs w:val="28"/>
        </w:rPr>
        <w:t>免經服務學校核准之項目：</w:t>
      </w:r>
    </w:p>
    <w:p w14:paraId="60EC5DAB" w14:textId="77777777" w:rsidR="001063F3" w:rsidRPr="00FD4D25" w:rsidRDefault="001063F3" w:rsidP="001063F3">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66D25F22" w14:textId="77777777" w:rsidR="001063F3" w:rsidRPr="00FD4D25" w:rsidRDefault="001063F3" w:rsidP="001063F3">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(二)兼任政府機關（構）、學校、行政法人之任務編組職務或諮詢性職務，或擔任政府機關（構）、學校、行政法人會議之專家代表。</w:t>
      </w:r>
    </w:p>
    <w:p w14:paraId="2F98786A" w14:textId="77777777" w:rsidR="001063F3" w:rsidRPr="00FD4D25" w:rsidRDefault="001063F3" w:rsidP="001063F3">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75044EA" w14:textId="77777777" w:rsidR="001063F3" w:rsidRPr="00FD4D25" w:rsidRDefault="001063F3" w:rsidP="001063F3">
      <w:pPr>
        <w:spacing w:line="400" w:lineRule="exact"/>
        <w:ind w:leftChars="525" w:left="1260"/>
        <w:jc w:val="both"/>
        <w:rPr>
          <w:rFonts w:ascii="標楷體" w:eastAsia="標楷體" w:hAnsi="標楷體"/>
          <w:color w:val="385623" w:themeColor="accent6" w:themeShade="80"/>
          <w:sz w:val="28"/>
          <w:szCs w:val="28"/>
        </w:rPr>
      </w:pPr>
      <w:r w:rsidRPr="00FD4D25">
        <w:rPr>
          <w:rFonts w:ascii="標楷體" w:eastAsia="標楷體" w:hAnsi="標楷體" w:hint="eastAsia"/>
          <w:color w:val="385623" w:themeColor="accent6" w:themeShade="80"/>
          <w:sz w:val="28"/>
          <w:szCs w:val="28"/>
        </w:rPr>
        <w:t>例如：擔任</w:t>
      </w:r>
      <w:proofErr w:type="gramStart"/>
      <w:r w:rsidRPr="00FD4D25">
        <w:rPr>
          <w:rFonts w:ascii="標楷體" w:eastAsia="標楷體" w:hAnsi="標楷體" w:hint="eastAsia"/>
          <w:color w:val="385623" w:themeColor="accent6" w:themeShade="80"/>
          <w:sz w:val="28"/>
          <w:szCs w:val="28"/>
        </w:rPr>
        <w:t>典試法所規定之典試</w:t>
      </w:r>
      <w:proofErr w:type="gramEnd"/>
      <w:r w:rsidRPr="00FD4D25">
        <w:rPr>
          <w:rFonts w:ascii="標楷體" w:eastAsia="標楷體" w:hAnsi="標楷體" w:hint="eastAsia"/>
          <w:color w:val="385623" w:themeColor="accent6" w:themeShade="80"/>
          <w:sz w:val="28"/>
          <w:szCs w:val="28"/>
        </w:rPr>
        <w:t>委員、命題委員、閱卷委員、審查委員、口試委員、心理測驗委員、體能測驗委員或實地測驗委員，擔任專科以上學校教師資格審定辦法所規定之著作審查人。</w:t>
      </w:r>
    </w:p>
    <w:p w14:paraId="2D7086A5" w14:textId="77777777" w:rsidR="001063F3" w:rsidRPr="00FD4D25" w:rsidRDefault="001063F3" w:rsidP="001063F3">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50EA4647" w14:textId="77777777" w:rsidR="001063F3" w:rsidRPr="00FD4D25" w:rsidRDefault="001063F3" w:rsidP="001063F3">
      <w:pPr>
        <w:spacing w:line="400" w:lineRule="exact"/>
        <w:ind w:leftChars="525" w:left="1260"/>
        <w:jc w:val="both"/>
        <w:rPr>
          <w:rFonts w:ascii="標楷體" w:eastAsia="標楷體" w:hAnsi="標楷體"/>
          <w:color w:val="385623" w:themeColor="accent6" w:themeShade="80"/>
          <w:sz w:val="28"/>
          <w:szCs w:val="28"/>
        </w:rPr>
      </w:pPr>
      <w:r w:rsidRPr="00FD4D25">
        <w:rPr>
          <w:rFonts w:ascii="標楷體" w:eastAsia="標楷體" w:hAnsi="標楷體" w:hint="eastAsia"/>
          <w:color w:val="385623" w:themeColor="accent6" w:themeShade="80"/>
          <w:sz w:val="28"/>
          <w:szCs w:val="28"/>
        </w:rPr>
        <w:t>例如：擔任非營利團體之課輔教師(不包含董、監事職務)、擔任宗教性質團體志工。</w:t>
      </w:r>
    </w:p>
    <w:p w14:paraId="4696DF92" w14:textId="77777777" w:rsidR="001063F3" w:rsidRPr="00941D08" w:rsidRDefault="001063F3" w:rsidP="001063F3">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385623" w:themeColor="accent6" w:themeShade="80"/>
          <w:sz w:val="28"/>
          <w:szCs w:val="28"/>
        </w:rPr>
        <w:t>例如：擔任競技比賽之裁判或評審。</w:t>
      </w:r>
    </w:p>
    <w:p w14:paraId="250BAC59" w14:textId="77777777" w:rsidR="001063F3" w:rsidRPr="00FD4D25" w:rsidRDefault="001063F3" w:rsidP="001063F3">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BDF90AC" w14:textId="77777777" w:rsidR="001063F3" w:rsidRPr="00FD4D25" w:rsidRDefault="001063F3" w:rsidP="001063F3">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5ABDF51E" w14:textId="5F35BF29" w:rsidR="001063F3" w:rsidRPr="00FD4D25" w:rsidRDefault="001063F3" w:rsidP="001063F3">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4471698C" w14:textId="77777777" w:rsidR="001063F3" w:rsidRDefault="001063F3" w:rsidP="001063F3">
      <w:pPr>
        <w:spacing w:line="400" w:lineRule="exact"/>
        <w:ind w:leftChars="300" w:left="1280" w:hangingChars="200" w:hanging="560"/>
        <w:jc w:val="both"/>
        <w:rPr>
          <w:rFonts w:ascii="標楷體" w:eastAsia="標楷體" w:hAnsi="標楷體"/>
          <w:color w:val="385623"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385623" w:themeColor="accent6" w:themeShade="80"/>
          <w:sz w:val="28"/>
          <w:szCs w:val="28"/>
        </w:rPr>
        <w:t>例如：參與頭髮義剪活動、以手工方式製作手作品。</w:t>
      </w:r>
    </w:p>
    <w:p w14:paraId="4DEAFE0B" w14:textId="77777777" w:rsidR="001063F3" w:rsidRPr="00FD4D25" w:rsidRDefault="001063F3" w:rsidP="001063F3">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4B20D233" w14:textId="77777777" w:rsidR="001063F3" w:rsidRPr="00FD4D25" w:rsidRDefault="001063F3" w:rsidP="001063F3">
      <w:pPr>
        <w:spacing w:line="400" w:lineRule="exact"/>
        <w:ind w:leftChars="550" w:left="1320"/>
        <w:jc w:val="both"/>
        <w:rPr>
          <w:rFonts w:ascii="標楷體" w:eastAsia="標楷體" w:hAnsi="標楷體"/>
          <w:color w:val="385623" w:themeColor="accent6" w:themeShade="80"/>
          <w:sz w:val="28"/>
          <w:szCs w:val="28"/>
        </w:rPr>
      </w:pPr>
      <w:r w:rsidRPr="00FD4D25">
        <w:rPr>
          <w:rFonts w:ascii="標楷體" w:eastAsia="標楷體" w:hAnsi="標楷體" w:hint="eastAsia"/>
          <w:color w:val="385623"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52CBF13" w14:textId="77777777" w:rsidR="001063F3" w:rsidRPr="00FD4D25" w:rsidRDefault="001063F3" w:rsidP="001063F3">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0AB1FDB" w14:textId="77777777" w:rsidR="001063F3" w:rsidRDefault="001063F3" w:rsidP="001063F3">
      <w:pPr>
        <w:spacing w:line="400" w:lineRule="exact"/>
        <w:ind w:leftChars="550" w:left="1320"/>
        <w:jc w:val="both"/>
        <w:rPr>
          <w:rFonts w:ascii="標楷體" w:eastAsia="標楷體" w:hAnsi="標楷體"/>
          <w:color w:val="385623" w:themeColor="accent6" w:themeShade="80"/>
          <w:sz w:val="28"/>
          <w:szCs w:val="28"/>
        </w:rPr>
      </w:pPr>
      <w:r w:rsidRPr="00FD4D25">
        <w:rPr>
          <w:rFonts w:ascii="標楷體" w:eastAsia="標楷體" w:hAnsi="標楷體" w:hint="eastAsia"/>
          <w:color w:val="385623" w:themeColor="accent6" w:themeShade="80"/>
          <w:sz w:val="28"/>
          <w:szCs w:val="28"/>
        </w:rPr>
        <w:t>例如：以自有房屋收取租金、出售家中二手物品、設計手機APP、製作個人肖像LINE貼圖。</w:t>
      </w:r>
    </w:p>
    <w:p w14:paraId="1FF1FA3D" w14:textId="54F6BDD6" w:rsidR="001063F3" w:rsidRPr="003B5246" w:rsidRDefault="001063F3" w:rsidP="001063F3">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20708D">
        <w:rPr>
          <w:rFonts w:ascii="標楷體" w:eastAsia="標楷體" w:hAnsi="標楷體"/>
          <w:color w:val="000000" w:themeColor="text1"/>
          <w:sz w:val="28"/>
          <w:szCs w:val="28"/>
        </w:rPr>
        <w:t>、</w:t>
      </w:r>
      <w:r w:rsidRPr="005C4CE8">
        <w:rPr>
          <w:rFonts w:ascii="標楷體" w:eastAsia="標楷體" w:hAnsi="標楷體" w:hint="eastAsia"/>
          <w:color w:val="000000" w:themeColor="text1"/>
          <w:sz w:val="28"/>
          <w:szCs w:val="28"/>
        </w:rPr>
        <w:t>教育人員任用條例第</w:t>
      </w:r>
      <w:r>
        <w:rPr>
          <w:rFonts w:ascii="標楷體" w:eastAsia="標楷體" w:hAnsi="標楷體" w:hint="eastAsia"/>
          <w:color w:val="000000" w:themeColor="text1"/>
          <w:sz w:val="28"/>
          <w:szCs w:val="28"/>
        </w:rPr>
        <w:t>34</w:t>
      </w:r>
      <w:r w:rsidRPr="005C4CE8">
        <w:rPr>
          <w:rFonts w:ascii="標楷體" w:eastAsia="標楷體" w:hAnsi="標楷體" w:hint="eastAsia"/>
          <w:color w:val="000000" w:themeColor="text1"/>
          <w:sz w:val="28"/>
          <w:szCs w:val="28"/>
        </w:rPr>
        <w:t>條所定兼職，係指教育人員從事本職以外之工作。</w:t>
      </w:r>
      <w:proofErr w:type="gramStart"/>
      <w:r w:rsidRPr="005C4CE8">
        <w:rPr>
          <w:rFonts w:ascii="標楷體" w:eastAsia="標楷體" w:hAnsi="標楷體" w:hint="eastAsia"/>
          <w:color w:val="000000" w:themeColor="text1"/>
          <w:sz w:val="28"/>
          <w:szCs w:val="28"/>
        </w:rPr>
        <w:t>惟</w:t>
      </w:r>
      <w:proofErr w:type="gramEnd"/>
      <w:r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Pr="005C4CE8">
        <w:rPr>
          <w:rFonts w:ascii="標楷體" w:eastAsia="標楷體" w:hAnsi="標楷體" w:hint="eastAsia"/>
          <w:color w:val="000000" w:themeColor="text1"/>
          <w:sz w:val="28"/>
          <w:szCs w:val="28"/>
        </w:rPr>
        <w:t>組織均未生</w:t>
      </w:r>
      <w:proofErr w:type="gramEnd"/>
      <w:r w:rsidRPr="005C4CE8">
        <w:rPr>
          <w:rFonts w:ascii="標楷體" w:eastAsia="標楷體" w:hAnsi="標楷體" w:hint="eastAsia"/>
          <w:color w:val="000000" w:themeColor="text1"/>
          <w:sz w:val="28"/>
          <w:szCs w:val="28"/>
        </w:rPr>
        <w:t>職務或契約關係，則非屬兼職範圍。</w:t>
      </w:r>
      <w:r w:rsidRPr="003B5246">
        <w:rPr>
          <w:rFonts w:ascii="標楷體" w:eastAsia="標楷體" w:hAnsi="標楷體" w:hint="eastAsia"/>
          <w:color w:val="000000" w:themeColor="text1"/>
          <w:sz w:val="28"/>
          <w:szCs w:val="28"/>
        </w:rPr>
        <w:t>(教育部</w:t>
      </w:r>
      <w:r>
        <w:rPr>
          <w:rFonts w:ascii="標楷體" w:eastAsia="標楷體" w:hAnsi="標楷體" w:hint="eastAsia"/>
          <w:color w:val="000000" w:themeColor="text1"/>
          <w:sz w:val="28"/>
          <w:szCs w:val="28"/>
        </w:rPr>
        <w:t>104年6月1日</w:t>
      </w:r>
      <w:proofErr w:type="gramStart"/>
      <w:r>
        <w:rPr>
          <w:rFonts w:ascii="標楷體" w:eastAsia="標楷體" w:hAnsi="標楷體" w:hint="eastAsia"/>
          <w:color w:val="000000" w:themeColor="text1"/>
          <w:sz w:val="28"/>
          <w:szCs w:val="28"/>
        </w:rPr>
        <w:t>臺</w:t>
      </w:r>
      <w:proofErr w:type="gramEnd"/>
      <w:r>
        <w:rPr>
          <w:rFonts w:ascii="標楷體" w:eastAsia="標楷體" w:hAnsi="標楷體" w:hint="eastAsia"/>
          <w:color w:val="000000" w:themeColor="text1"/>
          <w:sz w:val="28"/>
          <w:szCs w:val="28"/>
        </w:rPr>
        <w:t>教人(二)字第1040069402B號令)</w:t>
      </w:r>
    </w:p>
    <w:p w14:paraId="735963AF" w14:textId="4064D596" w:rsidR="001063F3" w:rsidRPr="00056849" w:rsidRDefault="001063F3" w:rsidP="00881DEF">
      <w:pPr>
        <w:spacing w:line="400" w:lineRule="exact"/>
        <w:jc w:val="both"/>
        <w:rPr>
          <w:rFonts w:ascii="標楷體" w:eastAsia="標楷體" w:hAnsi="標楷體"/>
          <w:color w:val="000000" w:themeColor="text1"/>
          <w:sz w:val="28"/>
          <w:szCs w:val="28"/>
        </w:rPr>
      </w:pPr>
    </w:p>
    <w:p w14:paraId="1A5E3B3D" w14:textId="1412FAAA" w:rsidR="00A261D9" w:rsidRDefault="00A261D9"/>
    <w:sectPr w:rsidR="00A261D9" w:rsidSect="007E4320">
      <w:footerReference w:type="default" r:id="rId7"/>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832D" w14:textId="77777777" w:rsidR="005D1DF8" w:rsidRDefault="005D1DF8">
      <w:r>
        <w:separator/>
      </w:r>
    </w:p>
  </w:endnote>
  <w:endnote w:type="continuationSeparator" w:id="0">
    <w:p w14:paraId="64029FFE" w14:textId="77777777" w:rsidR="005D1DF8" w:rsidRDefault="005D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475213A1" w14:textId="0B866261" w:rsidR="007E4320" w:rsidRDefault="00491198">
        <w:pPr>
          <w:pStyle w:val="a3"/>
          <w:jc w:val="center"/>
        </w:pPr>
        <w:r>
          <w:fldChar w:fldCharType="begin"/>
        </w:r>
        <w:r>
          <w:instrText>PAGE   \* MERGEFORMAT</w:instrText>
        </w:r>
        <w:r>
          <w:fldChar w:fldCharType="separate"/>
        </w:r>
        <w:r w:rsidR="008D36D9" w:rsidRPr="008D36D9">
          <w:rPr>
            <w:noProof/>
            <w:lang w:val="zh-TW"/>
          </w:rPr>
          <w:t>2</w:t>
        </w:r>
        <w:r>
          <w:fldChar w:fldCharType="end"/>
        </w:r>
      </w:p>
    </w:sdtContent>
  </w:sdt>
  <w:p w14:paraId="32C7E66C" w14:textId="77777777" w:rsidR="007E4320" w:rsidRDefault="005D1DF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3D2EB" w14:textId="77777777" w:rsidR="005D1DF8" w:rsidRDefault="005D1DF8">
      <w:r>
        <w:separator/>
      </w:r>
    </w:p>
  </w:footnote>
  <w:footnote w:type="continuationSeparator" w:id="0">
    <w:p w14:paraId="7BCB9A06" w14:textId="77777777" w:rsidR="005D1DF8" w:rsidRDefault="005D1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29"/>
    <w:rsid w:val="001063F3"/>
    <w:rsid w:val="001C142A"/>
    <w:rsid w:val="00491198"/>
    <w:rsid w:val="005D1DF8"/>
    <w:rsid w:val="006F7C29"/>
    <w:rsid w:val="007C3380"/>
    <w:rsid w:val="00881DEF"/>
    <w:rsid w:val="008D36D9"/>
    <w:rsid w:val="009B6D61"/>
    <w:rsid w:val="00A261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ADF7"/>
  <w15:chartTrackingRefBased/>
  <w15:docId w15:val="{3E8EBB62-C27A-419E-B5AD-8FA749BD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3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63F3"/>
    <w:pPr>
      <w:tabs>
        <w:tab w:val="center" w:pos="4153"/>
        <w:tab w:val="right" w:pos="8306"/>
      </w:tabs>
      <w:snapToGrid w:val="0"/>
    </w:pPr>
    <w:rPr>
      <w:sz w:val="20"/>
      <w:szCs w:val="20"/>
    </w:rPr>
  </w:style>
  <w:style w:type="character" w:customStyle="1" w:styleId="a4">
    <w:name w:val="頁尾 字元"/>
    <w:basedOn w:val="a0"/>
    <w:link w:val="a3"/>
    <w:uiPriority w:val="99"/>
    <w:rsid w:val="001063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2023-09-23T07:17:00Z</dcterms:created>
  <dcterms:modified xsi:type="dcterms:W3CDTF">2023-09-25T02:27:00Z</dcterms:modified>
</cp:coreProperties>
</file>